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4A" w:rsidRPr="00D552C8" w:rsidRDefault="00DC7B4A" w:rsidP="00DC7B4A">
      <w:pPr>
        <w:rPr>
          <w:b/>
          <w:color w:val="C00000"/>
          <w:sz w:val="32"/>
          <w:szCs w:val="32"/>
        </w:rPr>
      </w:pPr>
      <w:r w:rsidRPr="00D552C8">
        <w:rPr>
          <w:b/>
          <w:color w:val="C00000"/>
          <w:sz w:val="32"/>
          <w:szCs w:val="32"/>
        </w:rPr>
        <w:t>Tenancy Information</w:t>
      </w:r>
    </w:p>
    <w:p w:rsidR="00DC7B4A" w:rsidRDefault="00DC7B4A" w:rsidP="00DC7B4A">
      <w:bookmarkStart w:id="0" w:name="_GoBack"/>
    </w:p>
    <w:p w:rsidR="00DC7B4A" w:rsidRDefault="00DC7B4A" w:rsidP="00DC7B4A">
      <w:r>
        <w:t xml:space="preserve">Tenant charges are as set out in the Information for Tenant guide. </w:t>
      </w:r>
      <w:r w:rsidR="00D552C8">
        <w:t>If you</w:t>
      </w:r>
      <w:r>
        <w:t xml:space="preserve"> decide to put forward an </w:t>
      </w:r>
      <w:bookmarkEnd w:id="0"/>
      <w:r>
        <w:t xml:space="preserve">offer to let a property you are required to read and acknowledge the Information for Tenant guide. All tenancies signed and dated from 1st June 2019 will be in line with Tenant Fee Ban legislation and the charges detailed below. </w:t>
      </w:r>
    </w:p>
    <w:p w:rsidR="00DC7B4A" w:rsidRDefault="00DC7B4A" w:rsidP="00DC7B4A">
      <w:pPr>
        <w:rPr>
          <w:color w:val="53535F"/>
        </w:rPr>
      </w:pPr>
    </w:p>
    <w:tbl>
      <w:tblPr>
        <w:tblStyle w:val="TableGrid"/>
        <w:tblW w:w="0" w:type="auto"/>
        <w:tblLook w:val="04A0" w:firstRow="1" w:lastRow="0" w:firstColumn="1" w:lastColumn="0" w:noHBand="0" w:noVBand="1"/>
      </w:tblPr>
      <w:tblGrid>
        <w:gridCol w:w="4508"/>
        <w:gridCol w:w="4508"/>
      </w:tblGrid>
      <w:tr w:rsidR="00AB3116" w:rsidTr="00ED5AB5">
        <w:tc>
          <w:tcPr>
            <w:tcW w:w="9016" w:type="dxa"/>
            <w:gridSpan w:val="2"/>
          </w:tcPr>
          <w:p w:rsidR="00AB3116" w:rsidRPr="006E2071" w:rsidRDefault="00AB3116" w:rsidP="00AB3116">
            <w:pPr>
              <w:autoSpaceDE w:val="0"/>
              <w:autoSpaceDN w:val="0"/>
              <w:rPr>
                <w:color w:val="000000"/>
                <w:sz w:val="28"/>
                <w:szCs w:val="28"/>
                <w:lang w:eastAsia="en-GB"/>
              </w:rPr>
            </w:pPr>
            <w:r w:rsidRPr="006E2071">
              <w:rPr>
                <w:b/>
                <w:bCs/>
                <w:color w:val="C00000"/>
                <w:sz w:val="28"/>
                <w:szCs w:val="28"/>
                <w:lang w:eastAsia="en-GB"/>
              </w:rPr>
              <w:t xml:space="preserve">Permitted </w:t>
            </w:r>
            <w:r w:rsidR="00D552C8">
              <w:rPr>
                <w:b/>
                <w:bCs/>
                <w:color w:val="C00000"/>
                <w:sz w:val="28"/>
                <w:szCs w:val="28"/>
                <w:lang w:eastAsia="en-GB"/>
              </w:rPr>
              <w:t>Payments</w:t>
            </w:r>
            <w:r w:rsidRPr="006E2071">
              <w:rPr>
                <w:b/>
                <w:bCs/>
                <w:color w:val="C00000"/>
                <w:sz w:val="28"/>
                <w:szCs w:val="28"/>
                <w:lang w:eastAsia="en-GB"/>
              </w:rPr>
              <w:t xml:space="preserve"> for Assured </w:t>
            </w:r>
            <w:proofErr w:type="spellStart"/>
            <w:r w:rsidRPr="006E2071">
              <w:rPr>
                <w:b/>
                <w:bCs/>
                <w:color w:val="C00000"/>
                <w:sz w:val="28"/>
                <w:szCs w:val="28"/>
                <w:lang w:eastAsia="en-GB"/>
              </w:rPr>
              <w:t>Shorthold</w:t>
            </w:r>
            <w:proofErr w:type="spellEnd"/>
            <w:r w:rsidRPr="006E2071">
              <w:rPr>
                <w:b/>
                <w:bCs/>
                <w:color w:val="C00000"/>
                <w:sz w:val="28"/>
                <w:szCs w:val="28"/>
                <w:lang w:eastAsia="en-GB"/>
              </w:rPr>
              <w:t xml:space="preserve"> Tenancy</w:t>
            </w:r>
          </w:p>
        </w:tc>
      </w:tr>
      <w:tr w:rsidR="006E2071" w:rsidTr="00DC7B4A">
        <w:tc>
          <w:tcPr>
            <w:tcW w:w="4508" w:type="dxa"/>
          </w:tcPr>
          <w:p w:rsidR="006E2071" w:rsidRPr="00AB3116" w:rsidRDefault="006E2071" w:rsidP="006E2071">
            <w:pPr>
              <w:rPr>
                <w:b/>
              </w:rPr>
            </w:pPr>
            <w:r w:rsidRPr="00AB3116">
              <w:rPr>
                <w:b/>
                <w:bCs/>
                <w:lang w:eastAsia="en-GB"/>
              </w:rPr>
              <w:t>Holding Deposit</w:t>
            </w:r>
          </w:p>
        </w:tc>
        <w:tc>
          <w:tcPr>
            <w:tcW w:w="4508" w:type="dxa"/>
          </w:tcPr>
          <w:p w:rsidR="006E2071" w:rsidRDefault="006E2071" w:rsidP="006E2071">
            <w:r w:rsidRPr="004668CD">
              <w:rPr>
                <w:bCs/>
                <w:lang w:eastAsia="en-GB"/>
              </w:rPr>
              <w:t>One weeks rent (deducted from the pre move in invoice)</w:t>
            </w:r>
          </w:p>
        </w:tc>
      </w:tr>
      <w:tr w:rsidR="006E2071" w:rsidTr="00DC7B4A">
        <w:tc>
          <w:tcPr>
            <w:tcW w:w="4508" w:type="dxa"/>
          </w:tcPr>
          <w:p w:rsidR="006E2071" w:rsidRPr="00AB3116" w:rsidRDefault="006E2071" w:rsidP="006E2071">
            <w:pPr>
              <w:autoSpaceDE w:val="0"/>
              <w:autoSpaceDN w:val="0"/>
              <w:rPr>
                <w:b/>
                <w:bCs/>
                <w:lang w:eastAsia="en-GB"/>
              </w:rPr>
            </w:pPr>
            <w:r w:rsidRPr="00AB3116">
              <w:rPr>
                <w:b/>
                <w:bCs/>
                <w:lang w:eastAsia="en-GB"/>
              </w:rPr>
              <w:t>Rent</w:t>
            </w:r>
          </w:p>
        </w:tc>
        <w:tc>
          <w:tcPr>
            <w:tcW w:w="4508" w:type="dxa"/>
          </w:tcPr>
          <w:p w:rsidR="006E2071" w:rsidRPr="00DC7B4A" w:rsidRDefault="006E2071" w:rsidP="006E2071">
            <w:pPr>
              <w:autoSpaceDE w:val="0"/>
              <w:autoSpaceDN w:val="0"/>
              <w:rPr>
                <w:bCs/>
                <w:lang w:eastAsia="en-GB"/>
              </w:rPr>
            </w:pPr>
            <w:r>
              <w:rPr>
                <w:color w:val="000000"/>
                <w:lang w:eastAsia="en-GB"/>
              </w:rPr>
              <w:t>Paid in advance either monthly/quarterly/six monthly/annually does not include any services such as council tax and utilities unless stated otherwise.</w:t>
            </w:r>
          </w:p>
        </w:tc>
      </w:tr>
      <w:tr w:rsidR="006E2071" w:rsidTr="00DC7B4A">
        <w:tc>
          <w:tcPr>
            <w:tcW w:w="4508" w:type="dxa"/>
          </w:tcPr>
          <w:p w:rsidR="006E2071" w:rsidRPr="00AB3116" w:rsidRDefault="006E2071" w:rsidP="006E2071">
            <w:pPr>
              <w:autoSpaceDE w:val="0"/>
              <w:autoSpaceDN w:val="0"/>
              <w:rPr>
                <w:b/>
                <w:bCs/>
                <w:lang w:eastAsia="en-GB"/>
              </w:rPr>
            </w:pPr>
            <w:r w:rsidRPr="00AB3116">
              <w:rPr>
                <w:b/>
                <w:bCs/>
                <w:lang w:eastAsia="en-GB"/>
              </w:rPr>
              <w:t xml:space="preserve">Tenancy Deposit </w:t>
            </w:r>
          </w:p>
        </w:tc>
        <w:tc>
          <w:tcPr>
            <w:tcW w:w="4508" w:type="dxa"/>
          </w:tcPr>
          <w:p w:rsidR="006E2071" w:rsidRPr="00DC7B4A" w:rsidRDefault="006E2071" w:rsidP="006E2071">
            <w:pPr>
              <w:autoSpaceDE w:val="0"/>
              <w:autoSpaceDN w:val="0"/>
              <w:rPr>
                <w:bCs/>
                <w:lang w:eastAsia="en-GB"/>
              </w:rPr>
            </w:pPr>
            <w:r>
              <w:rPr>
                <w:bCs/>
                <w:lang w:eastAsia="en-GB"/>
              </w:rPr>
              <w:t xml:space="preserve">5 or 6 weeks rent dependant on annual rental amount </w:t>
            </w:r>
          </w:p>
        </w:tc>
      </w:tr>
      <w:tr w:rsidR="006E2071" w:rsidTr="00DC7B4A">
        <w:tc>
          <w:tcPr>
            <w:tcW w:w="4508" w:type="dxa"/>
          </w:tcPr>
          <w:p w:rsidR="006E2071" w:rsidRPr="00AB3116" w:rsidRDefault="006E2071" w:rsidP="006E2071">
            <w:pPr>
              <w:autoSpaceDE w:val="0"/>
              <w:autoSpaceDN w:val="0"/>
              <w:rPr>
                <w:b/>
                <w:bCs/>
                <w:lang w:eastAsia="en-GB"/>
              </w:rPr>
            </w:pPr>
            <w:r>
              <w:rPr>
                <w:b/>
                <w:bCs/>
                <w:lang w:eastAsia="en-GB"/>
              </w:rPr>
              <w:t>Deed of assignment</w:t>
            </w:r>
            <w:r w:rsidRPr="00AB3116">
              <w:rPr>
                <w:b/>
                <w:bCs/>
                <w:lang w:eastAsia="en-GB"/>
              </w:rPr>
              <w:t xml:space="preserve"> or variance</w:t>
            </w:r>
          </w:p>
        </w:tc>
        <w:tc>
          <w:tcPr>
            <w:tcW w:w="4508" w:type="dxa"/>
          </w:tcPr>
          <w:p w:rsidR="006E2071" w:rsidRPr="00DC7B4A" w:rsidRDefault="006E2071" w:rsidP="006E2071">
            <w:pPr>
              <w:autoSpaceDE w:val="0"/>
              <w:autoSpaceDN w:val="0"/>
              <w:rPr>
                <w:bCs/>
                <w:lang w:eastAsia="en-GB"/>
              </w:rPr>
            </w:pPr>
            <w:r>
              <w:rPr>
                <w:bCs/>
                <w:lang w:eastAsia="en-GB"/>
              </w:rPr>
              <w:t xml:space="preserve">£50 </w:t>
            </w:r>
            <w:proofErr w:type="spellStart"/>
            <w:r>
              <w:rPr>
                <w:bCs/>
                <w:lang w:eastAsia="en-GB"/>
              </w:rPr>
              <w:t>inc</w:t>
            </w:r>
            <w:proofErr w:type="spellEnd"/>
            <w:r>
              <w:rPr>
                <w:bCs/>
                <w:lang w:eastAsia="en-GB"/>
              </w:rPr>
              <w:t xml:space="preserve"> VAT</w:t>
            </w:r>
          </w:p>
        </w:tc>
      </w:tr>
      <w:tr w:rsidR="006E2071" w:rsidTr="00DC7B4A">
        <w:tc>
          <w:tcPr>
            <w:tcW w:w="4508" w:type="dxa"/>
          </w:tcPr>
          <w:p w:rsidR="006E2071" w:rsidRPr="00AB3116" w:rsidRDefault="006E2071" w:rsidP="006E2071">
            <w:pPr>
              <w:autoSpaceDE w:val="0"/>
              <w:autoSpaceDN w:val="0"/>
              <w:rPr>
                <w:b/>
                <w:bCs/>
                <w:lang w:eastAsia="en-GB"/>
              </w:rPr>
            </w:pPr>
            <w:r>
              <w:rPr>
                <w:b/>
                <w:bCs/>
                <w:lang w:eastAsia="en-GB"/>
              </w:rPr>
              <w:t xml:space="preserve">Deed of Surrender </w:t>
            </w:r>
          </w:p>
        </w:tc>
        <w:tc>
          <w:tcPr>
            <w:tcW w:w="4508" w:type="dxa"/>
          </w:tcPr>
          <w:p w:rsidR="006E2071" w:rsidRPr="00DC7B4A" w:rsidRDefault="006E2071" w:rsidP="006E2071">
            <w:pPr>
              <w:autoSpaceDE w:val="0"/>
              <w:autoSpaceDN w:val="0"/>
              <w:rPr>
                <w:bCs/>
                <w:lang w:eastAsia="en-GB"/>
              </w:rPr>
            </w:pPr>
            <w:r>
              <w:rPr>
                <w:bCs/>
                <w:lang w:eastAsia="en-GB"/>
              </w:rPr>
              <w:t xml:space="preserve">£50 </w:t>
            </w:r>
            <w:proofErr w:type="spellStart"/>
            <w:r>
              <w:rPr>
                <w:bCs/>
                <w:lang w:eastAsia="en-GB"/>
              </w:rPr>
              <w:t>inc</w:t>
            </w:r>
            <w:proofErr w:type="spellEnd"/>
            <w:r>
              <w:rPr>
                <w:bCs/>
                <w:lang w:eastAsia="en-GB"/>
              </w:rPr>
              <w:t xml:space="preserve"> VAT and any reasonable Landlord costs </w:t>
            </w:r>
          </w:p>
        </w:tc>
      </w:tr>
      <w:tr w:rsidR="006E2071" w:rsidTr="00DC7B4A">
        <w:tc>
          <w:tcPr>
            <w:tcW w:w="4508" w:type="dxa"/>
          </w:tcPr>
          <w:p w:rsidR="006E2071" w:rsidRPr="00DC7B4A" w:rsidRDefault="006E2071" w:rsidP="006E2071">
            <w:pPr>
              <w:autoSpaceDE w:val="0"/>
              <w:autoSpaceDN w:val="0"/>
              <w:rPr>
                <w:bCs/>
                <w:lang w:eastAsia="en-GB"/>
              </w:rPr>
            </w:pPr>
            <w:r w:rsidRPr="00AB3116">
              <w:rPr>
                <w:b/>
                <w:bCs/>
                <w:lang w:eastAsia="en-GB"/>
              </w:rPr>
              <w:t>Late payment of rent</w:t>
            </w:r>
          </w:p>
        </w:tc>
        <w:tc>
          <w:tcPr>
            <w:tcW w:w="4508" w:type="dxa"/>
          </w:tcPr>
          <w:p w:rsidR="006E2071" w:rsidRPr="00DC7B4A" w:rsidRDefault="006E2071" w:rsidP="006E2071">
            <w:pPr>
              <w:autoSpaceDE w:val="0"/>
              <w:autoSpaceDN w:val="0"/>
              <w:rPr>
                <w:bCs/>
                <w:lang w:eastAsia="en-GB"/>
              </w:rPr>
            </w:pPr>
            <w:r w:rsidRPr="0040055C">
              <w:rPr>
                <w:bCs/>
                <w:lang w:eastAsia="en-GB"/>
              </w:rPr>
              <w:t>Interest on rent arrears (after 14 days) and capped at 3% over Bank of England base rate.</w:t>
            </w:r>
          </w:p>
        </w:tc>
      </w:tr>
      <w:tr w:rsidR="006E2071" w:rsidTr="00DC7B4A">
        <w:tc>
          <w:tcPr>
            <w:tcW w:w="4508" w:type="dxa"/>
          </w:tcPr>
          <w:p w:rsidR="006E2071" w:rsidRPr="00AB3116" w:rsidRDefault="006E2071" w:rsidP="006E2071">
            <w:pPr>
              <w:autoSpaceDE w:val="0"/>
              <w:autoSpaceDN w:val="0"/>
              <w:rPr>
                <w:b/>
                <w:bCs/>
                <w:lang w:eastAsia="en-GB"/>
              </w:rPr>
            </w:pPr>
            <w:r w:rsidRPr="00AB3116">
              <w:rPr>
                <w:b/>
                <w:bCs/>
                <w:lang w:eastAsia="en-GB"/>
              </w:rPr>
              <w:t>Replacement keys or security devices</w:t>
            </w:r>
          </w:p>
        </w:tc>
        <w:tc>
          <w:tcPr>
            <w:tcW w:w="4508" w:type="dxa"/>
          </w:tcPr>
          <w:p w:rsidR="006E2071" w:rsidRPr="00DC7B4A" w:rsidRDefault="006E2071" w:rsidP="006E2071">
            <w:pPr>
              <w:autoSpaceDE w:val="0"/>
              <w:autoSpaceDN w:val="0"/>
              <w:rPr>
                <w:bCs/>
                <w:lang w:eastAsia="en-GB"/>
              </w:rPr>
            </w:pPr>
            <w:r>
              <w:rPr>
                <w:bCs/>
                <w:lang w:eastAsia="en-GB"/>
              </w:rPr>
              <w:t xml:space="preserve">Cost incurred </w:t>
            </w:r>
          </w:p>
        </w:tc>
      </w:tr>
    </w:tbl>
    <w:p w:rsidR="00DC7B4A" w:rsidRDefault="00DC7B4A" w:rsidP="00DC7B4A">
      <w:pPr>
        <w:autoSpaceDE w:val="0"/>
        <w:autoSpaceDN w:val="0"/>
        <w:rPr>
          <w:color w:val="C60637"/>
          <w:lang w:eastAsia="en-GB"/>
        </w:rPr>
      </w:pPr>
    </w:p>
    <w:p w:rsidR="00AB3116" w:rsidRDefault="00AB3116" w:rsidP="00DC7B4A">
      <w:pPr>
        <w:autoSpaceDE w:val="0"/>
        <w:autoSpaceDN w:val="0"/>
        <w:rPr>
          <w:color w:val="C60637"/>
          <w:lang w:eastAsia="en-GB"/>
        </w:rPr>
      </w:pPr>
    </w:p>
    <w:tbl>
      <w:tblPr>
        <w:tblStyle w:val="TableGrid"/>
        <w:tblW w:w="0" w:type="auto"/>
        <w:tblLook w:val="04A0" w:firstRow="1" w:lastRow="0" w:firstColumn="1" w:lastColumn="0" w:noHBand="0" w:noVBand="1"/>
      </w:tblPr>
      <w:tblGrid>
        <w:gridCol w:w="4508"/>
        <w:gridCol w:w="4508"/>
      </w:tblGrid>
      <w:tr w:rsidR="00AB3116" w:rsidTr="00A038E3">
        <w:tc>
          <w:tcPr>
            <w:tcW w:w="9016" w:type="dxa"/>
            <w:gridSpan w:val="2"/>
          </w:tcPr>
          <w:p w:rsidR="00AB3116" w:rsidRPr="006E2071" w:rsidRDefault="00AB3116" w:rsidP="00A038E3">
            <w:pPr>
              <w:autoSpaceDE w:val="0"/>
              <w:autoSpaceDN w:val="0"/>
              <w:rPr>
                <w:color w:val="000000"/>
                <w:sz w:val="28"/>
                <w:szCs w:val="28"/>
                <w:lang w:eastAsia="en-GB"/>
              </w:rPr>
            </w:pPr>
            <w:r w:rsidRPr="006E2071">
              <w:rPr>
                <w:b/>
                <w:bCs/>
                <w:color w:val="C00000"/>
                <w:sz w:val="28"/>
                <w:szCs w:val="28"/>
                <w:lang w:eastAsia="en-GB"/>
              </w:rPr>
              <w:t>Charges for a Non Housing Act Tenancy</w:t>
            </w:r>
          </w:p>
        </w:tc>
      </w:tr>
      <w:tr w:rsidR="006E2071" w:rsidRPr="00DC7B4A" w:rsidTr="00A038E3">
        <w:tc>
          <w:tcPr>
            <w:tcW w:w="4508" w:type="dxa"/>
          </w:tcPr>
          <w:p w:rsidR="006E2071" w:rsidRPr="00AB3116" w:rsidRDefault="006E2071" w:rsidP="006E2071">
            <w:pPr>
              <w:rPr>
                <w:b/>
              </w:rPr>
            </w:pPr>
            <w:r w:rsidRPr="00AB3116">
              <w:rPr>
                <w:b/>
                <w:bCs/>
                <w:lang w:eastAsia="en-GB"/>
              </w:rPr>
              <w:t>Holding Deposit</w:t>
            </w:r>
          </w:p>
        </w:tc>
        <w:tc>
          <w:tcPr>
            <w:tcW w:w="4508" w:type="dxa"/>
          </w:tcPr>
          <w:p w:rsidR="006E2071" w:rsidRDefault="006E2071" w:rsidP="006E2071">
            <w:r>
              <w:rPr>
                <w:bCs/>
                <w:lang w:eastAsia="en-GB"/>
              </w:rPr>
              <w:t>Two</w:t>
            </w:r>
            <w:r w:rsidRPr="004668CD">
              <w:rPr>
                <w:bCs/>
                <w:lang w:eastAsia="en-GB"/>
              </w:rPr>
              <w:t xml:space="preserve"> weeks rent (deducted from the pre move in invoice)</w:t>
            </w:r>
          </w:p>
        </w:tc>
      </w:tr>
      <w:tr w:rsidR="006E2071" w:rsidRPr="00DC7B4A" w:rsidTr="00A038E3">
        <w:tc>
          <w:tcPr>
            <w:tcW w:w="4508" w:type="dxa"/>
          </w:tcPr>
          <w:p w:rsidR="006E2071" w:rsidRPr="00AB3116" w:rsidRDefault="006E2071" w:rsidP="006E2071">
            <w:pPr>
              <w:autoSpaceDE w:val="0"/>
              <w:autoSpaceDN w:val="0"/>
              <w:rPr>
                <w:b/>
                <w:bCs/>
                <w:lang w:eastAsia="en-GB"/>
              </w:rPr>
            </w:pPr>
            <w:r>
              <w:rPr>
                <w:b/>
                <w:bCs/>
                <w:lang w:eastAsia="en-GB"/>
              </w:rPr>
              <w:t>Tenancy Agreement</w:t>
            </w:r>
          </w:p>
        </w:tc>
        <w:tc>
          <w:tcPr>
            <w:tcW w:w="4508" w:type="dxa"/>
          </w:tcPr>
          <w:p w:rsidR="006E2071" w:rsidRDefault="00E95083" w:rsidP="006E2071">
            <w:pPr>
              <w:autoSpaceDE w:val="0"/>
              <w:autoSpaceDN w:val="0"/>
              <w:rPr>
                <w:color w:val="000000"/>
                <w:lang w:eastAsia="en-GB"/>
              </w:rPr>
            </w:pPr>
            <w:r>
              <w:rPr>
                <w:color w:val="000000"/>
                <w:lang w:eastAsia="en-GB"/>
              </w:rPr>
              <w:t>£354</w:t>
            </w:r>
            <w:r w:rsidR="006E2071">
              <w:rPr>
                <w:color w:val="000000"/>
                <w:lang w:eastAsia="en-GB"/>
              </w:rPr>
              <w:t xml:space="preserve"> </w:t>
            </w:r>
            <w:proofErr w:type="spellStart"/>
            <w:r w:rsidR="006E2071">
              <w:rPr>
                <w:color w:val="000000"/>
                <w:lang w:eastAsia="en-GB"/>
              </w:rPr>
              <w:t>inc</w:t>
            </w:r>
            <w:proofErr w:type="spellEnd"/>
            <w:r w:rsidR="006E2071">
              <w:rPr>
                <w:color w:val="000000"/>
                <w:lang w:eastAsia="en-GB"/>
              </w:rPr>
              <w:t xml:space="preserve"> VAT</w:t>
            </w:r>
          </w:p>
        </w:tc>
      </w:tr>
      <w:tr w:rsidR="006E2071" w:rsidRPr="00DC7B4A" w:rsidTr="00A038E3">
        <w:tc>
          <w:tcPr>
            <w:tcW w:w="4508" w:type="dxa"/>
          </w:tcPr>
          <w:p w:rsidR="006E2071" w:rsidRPr="00AB3116" w:rsidRDefault="006E2071" w:rsidP="006E2071">
            <w:pPr>
              <w:autoSpaceDE w:val="0"/>
              <w:autoSpaceDN w:val="0"/>
              <w:rPr>
                <w:b/>
                <w:bCs/>
                <w:lang w:eastAsia="en-GB"/>
              </w:rPr>
            </w:pPr>
            <w:r>
              <w:rPr>
                <w:b/>
                <w:bCs/>
                <w:lang w:eastAsia="en-GB"/>
              </w:rPr>
              <w:t xml:space="preserve">Credit References </w:t>
            </w:r>
          </w:p>
        </w:tc>
        <w:tc>
          <w:tcPr>
            <w:tcW w:w="4508" w:type="dxa"/>
          </w:tcPr>
          <w:p w:rsidR="006E2071" w:rsidRDefault="006E2071" w:rsidP="006E2071">
            <w:pPr>
              <w:autoSpaceDE w:val="0"/>
              <w:autoSpaceDN w:val="0"/>
              <w:rPr>
                <w:color w:val="000000"/>
                <w:lang w:eastAsia="en-GB"/>
              </w:rPr>
            </w:pPr>
            <w:r>
              <w:rPr>
                <w:bCs/>
                <w:lang w:eastAsia="en-GB"/>
              </w:rPr>
              <w:t>I</w:t>
            </w:r>
            <w:r w:rsidRPr="006E2071">
              <w:rPr>
                <w:bCs/>
                <w:lang w:eastAsia="en-GB"/>
              </w:rPr>
              <w:t>ndividual</w:t>
            </w:r>
            <w:r>
              <w:rPr>
                <w:color w:val="000000"/>
                <w:lang w:eastAsia="en-GB"/>
              </w:rPr>
              <w:t xml:space="preserve"> £70 </w:t>
            </w:r>
            <w:proofErr w:type="spellStart"/>
            <w:r>
              <w:rPr>
                <w:color w:val="000000"/>
                <w:lang w:eastAsia="en-GB"/>
              </w:rPr>
              <w:t>inc</w:t>
            </w:r>
            <w:proofErr w:type="spellEnd"/>
            <w:r>
              <w:rPr>
                <w:color w:val="000000"/>
                <w:lang w:eastAsia="en-GB"/>
              </w:rPr>
              <w:t xml:space="preserve"> VAT per application </w:t>
            </w:r>
          </w:p>
          <w:p w:rsidR="006E2071" w:rsidRDefault="006E2071" w:rsidP="006E2071">
            <w:pPr>
              <w:autoSpaceDE w:val="0"/>
              <w:autoSpaceDN w:val="0"/>
              <w:rPr>
                <w:color w:val="000000"/>
                <w:lang w:eastAsia="en-GB"/>
              </w:rPr>
            </w:pPr>
            <w:r>
              <w:rPr>
                <w:color w:val="000000"/>
                <w:lang w:eastAsia="en-GB"/>
              </w:rPr>
              <w:t xml:space="preserve">Guarantor £70 </w:t>
            </w:r>
            <w:proofErr w:type="spellStart"/>
            <w:r>
              <w:rPr>
                <w:color w:val="000000"/>
                <w:lang w:eastAsia="en-GB"/>
              </w:rPr>
              <w:t>inc</w:t>
            </w:r>
            <w:proofErr w:type="spellEnd"/>
            <w:r>
              <w:rPr>
                <w:color w:val="000000"/>
                <w:lang w:eastAsia="en-GB"/>
              </w:rPr>
              <w:t xml:space="preserve"> VAT per application</w:t>
            </w:r>
          </w:p>
          <w:p w:rsidR="006E2071" w:rsidRDefault="006E2071" w:rsidP="006E2071">
            <w:pPr>
              <w:autoSpaceDE w:val="0"/>
              <w:autoSpaceDN w:val="0"/>
              <w:rPr>
                <w:color w:val="000000"/>
                <w:lang w:eastAsia="en-GB"/>
              </w:rPr>
            </w:pPr>
            <w:r>
              <w:rPr>
                <w:color w:val="000000"/>
                <w:lang w:eastAsia="en-GB"/>
              </w:rPr>
              <w:t xml:space="preserve">Company £120 </w:t>
            </w:r>
            <w:proofErr w:type="spellStart"/>
            <w:r>
              <w:rPr>
                <w:color w:val="000000"/>
                <w:lang w:eastAsia="en-GB"/>
              </w:rPr>
              <w:t>inc</w:t>
            </w:r>
            <w:proofErr w:type="spellEnd"/>
            <w:r>
              <w:rPr>
                <w:color w:val="000000"/>
                <w:lang w:eastAsia="en-GB"/>
              </w:rPr>
              <w:t xml:space="preserve"> VAT per application</w:t>
            </w:r>
          </w:p>
        </w:tc>
      </w:tr>
      <w:tr w:rsidR="006E2071" w:rsidRPr="00DC7B4A" w:rsidTr="00A038E3">
        <w:tc>
          <w:tcPr>
            <w:tcW w:w="4508" w:type="dxa"/>
          </w:tcPr>
          <w:p w:rsidR="006E2071" w:rsidRPr="00AB3116" w:rsidRDefault="006E2071" w:rsidP="006E2071">
            <w:pPr>
              <w:autoSpaceDE w:val="0"/>
              <w:autoSpaceDN w:val="0"/>
              <w:rPr>
                <w:b/>
                <w:bCs/>
                <w:lang w:eastAsia="en-GB"/>
              </w:rPr>
            </w:pPr>
            <w:r w:rsidRPr="00AB3116">
              <w:rPr>
                <w:b/>
                <w:bCs/>
                <w:lang w:eastAsia="en-GB"/>
              </w:rPr>
              <w:t>Rent</w:t>
            </w:r>
          </w:p>
        </w:tc>
        <w:tc>
          <w:tcPr>
            <w:tcW w:w="4508" w:type="dxa"/>
          </w:tcPr>
          <w:p w:rsidR="006E2071" w:rsidRPr="00DC7B4A" w:rsidRDefault="006E2071" w:rsidP="006E2071">
            <w:pPr>
              <w:autoSpaceDE w:val="0"/>
              <w:autoSpaceDN w:val="0"/>
              <w:rPr>
                <w:bCs/>
                <w:lang w:eastAsia="en-GB"/>
              </w:rPr>
            </w:pPr>
            <w:r>
              <w:rPr>
                <w:color w:val="000000"/>
                <w:lang w:eastAsia="en-GB"/>
              </w:rPr>
              <w:t>Paid in advance either monthly/quarterly/six monthly/annually does not include any services such as council tax and utilities unless stated otherwise.</w:t>
            </w:r>
          </w:p>
        </w:tc>
      </w:tr>
      <w:tr w:rsidR="006E2071" w:rsidRPr="00DC7B4A" w:rsidTr="00A038E3">
        <w:tc>
          <w:tcPr>
            <w:tcW w:w="4508" w:type="dxa"/>
          </w:tcPr>
          <w:p w:rsidR="006E2071" w:rsidRPr="00AB3116" w:rsidRDefault="006E2071" w:rsidP="006E2071">
            <w:pPr>
              <w:autoSpaceDE w:val="0"/>
              <w:autoSpaceDN w:val="0"/>
              <w:rPr>
                <w:b/>
                <w:bCs/>
                <w:lang w:eastAsia="en-GB"/>
              </w:rPr>
            </w:pPr>
            <w:r w:rsidRPr="00AB3116">
              <w:rPr>
                <w:b/>
                <w:bCs/>
                <w:lang w:eastAsia="en-GB"/>
              </w:rPr>
              <w:t xml:space="preserve">Tenancy Deposit </w:t>
            </w:r>
          </w:p>
        </w:tc>
        <w:tc>
          <w:tcPr>
            <w:tcW w:w="4508" w:type="dxa"/>
          </w:tcPr>
          <w:p w:rsidR="006E2071" w:rsidRPr="00DC7B4A" w:rsidRDefault="006E2071" w:rsidP="006E2071">
            <w:pPr>
              <w:autoSpaceDE w:val="0"/>
              <w:autoSpaceDN w:val="0"/>
              <w:rPr>
                <w:bCs/>
                <w:lang w:eastAsia="en-GB"/>
              </w:rPr>
            </w:pPr>
            <w:r>
              <w:rPr>
                <w:bCs/>
                <w:lang w:eastAsia="en-GB"/>
              </w:rPr>
              <w:t xml:space="preserve">6-8 weeks rent depending on circumstances </w:t>
            </w:r>
          </w:p>
        </w:tc>
      </w:tr>
      <w:tr w:rsidR="006E2071" w:rsidRPr="00DC7B4A" w:rsidTr="00A038E3">
        <w:tc>
          <w:tcPr>
            <w:tcW w:w="4508" w:type="dxa"/>
          </w:tcPr>
          <w:p w:rsidR="006E2071" w:rsidRPr="00AB3116" w:rsidRDefault="006E2071" w:rsidP="006E2071">
            <w:pPr>
              <w:autoSpaceDE w:val="0"/>
              <w:autoSpaceDN w:val="0"/>
              <w:rPr>
                <w:b/>
                <w:bCs/>
                <w:lang w:eastAsia="en-GB"/>
              </w:rPr>
            </w:pPr>
            <w:r>
              <w:rPr>
                <w:b/>
                <w:bCs/>
                <w:lang w:eastAsia="en-GB"/>
              </w:rPr>
              <w:t>Deed of assignment</w:t>
            </w:r>
            <w:r w:rsidRPr="00AB3116">
              <w:rPr>
                <w:b/>
                <w:bCs/>
                <w:lang w:eastAsia="en-GB"/>
              </w:rPr>
              <w:t xml:space="preserve"> </w:t>
            </w:r>
          </w:p>
        </w:tc>
        <w:tc>
          <w:tcPr>
            <w:tcW w:w="4508" w:type="dxa"/>
          </w:tcPr>
          <w:p w:rsidR="006E2071" w:rsidRPr="00DC7B4A" w:rsidRDefault="00E95083" w:rsidP="006E2071">
            <w:pPr>
              <w:autoSpaceDE w:val="0"/>
              <w:autoSpaceDN w:val="0"/>
              <w:rPr>
                <w:bCs/>
                <w:lang w:eastAsia="en-GB"/>
              </w:rPr>
            </w:pPr>
            <w:r>
              <w:rPr>
                <w:bCs/>
                <w:lang w:eastAsia="en-GB"/>
              </w:rPr>
              <w:t>£354</w:t>
            </w:r>
            <w:r w:rsidR="006E2071">
              <w:rPr>
                <w:bCs/>
                <w:lang w:eastAsia="en-GB"/>
              </w:rPr>
              <w:t xml:space="preserve"> </w:t>
            </w:r>
            <w:proofErr w:type="spellStart"/>
            <w:r w:rsidR="006E2071">
              <w:rPr>
                <w:bCs/>
                <w:lang w:eastAsia="en-GB"/>
              </w:rPr>
              <w:t>inc</w:t>
            </w:r>
            <w:proofErr w:type="spellEnd"/>
            <w:r w:rsidR="006E2071">
              <w:rPr>
                <w:bCs/>
                <w:lang w:eastAsia="en-GB"/>
              </w:rPr>
              <w:t xml:space="preserve"> VAT </w:t>
            </w:r>
          </w:p>
        </w:tc>
      </w:tr>
      <w:tr w:rsidR="006E2071" w:rsidRPr="00DC7B4A" w:rsidTr="00A038E3">
        <w:tc>
          <w:tcPr>
            <w:tcW w:w="4508" w:type="dxa"/>
          </w:tcPr>
          <w:p w:rsidR="006E2071" w:rsidRPr="00AB3116" w:rsidRDefault="006E2071" w:rsidP="006E2071">
            <w:pPr>
              <w:autoSpaceDE w:val="0"/>
              <w:autoSpaceDN w:val="0"/>
              <w:rPr>
                <w:b/>
                <w:bCs/>
                <w:lang w:eastAsia="en-GB"/>
              </w:rPr>
            </w:pPr>
            <w:r>
              <w:rPr>
                <w:b/>
                <w:bCs/>
                <w:lang w:eastAsia="en-GB"/>
              </w:rPr>
              <w:t xml:space="preserve">Deed of Surrender </w:t>
            </w:r>
            <w:r w:rsidRPr="00AB3116">
              <w:rPr>
                <w:b/>
                <w:bCs/>
                <w:lang w:eastAsia="en-GB"/>
              </w:rPr>
              <w:t>or variance</w:t>
            </w:r>
          </w:p>
        </w:tc>
        <w:tc>
          <w:tcPr>
            <w:tcW w:w="4508" w:type="dxa"/>
          </w:tcPr>
          <w:p w:rsidR="006E2071" w:rsidRPr="00DC7B4A" w:rsidRDefault="00E95083" w:rsidP="00E95083">
            <w:pPr>
              <w:autoSpaceDE w:val="0"/>
              <w:autoSpaceDN w:val="0"/>
              <w:rPr>
                <w:bCs/>
                <w:lang w:eastAsia="en-GB"/>
              </w:rPr>
            </w:pPr>
            <w:r>
              <w:rPr>
                <w:bCs/>
                <w:lang w:eastAsia="en-GB"/>
              </w:rPr>
              <w:t>£180</w:t>
            </w:r>
            <w:r w:rsidR="006E2071">
              <w:rPr>
                <w:bCs/>
                <w:lang w:eastAsia="en-GB"/>
              </w:rPr>
              <w:t xml:space="preserve"> </w:t>
            </w:r>
            <w:proofErr w:type="spellStart"/>
            <w:r w:rsidR="006E2071">
              <w:rPr>
                <w:bCs/>
                <w:lang w:eastAsia="en-GB"/>
              </w:rPr>
              <w:t>inc</w:t>
            </w:r>
            <w:proofErr w:type="spellEnd"/>
            <w:r w:rsidR="006E2071">
              <w:rPr>
                <w:bCs/>
                <w:lang w:eastAsia="en-GB"/>
              </w:rPr>
              <w:t xml:space="preserve"> VAT </w:t>
            </w:r>
          </w:p>
        </w:tc>
      </w:tr>
      <w:tr w:rsidR="006E2071" w:rsidRPr="00DC7B4A" w:rsidTr="00A038E3">
        <w:tc>
          <w:tcPr>
            <w:tcW w:w="4508" w:type="dxa"/>
          </w:tcPr>
          <w:p w:rsidR="006E2071" w:rsidRDefault="006E2071" w:rsidP="006E2071">
            <w:pPr>
              <w:autoSpaceDE w:val="0"/>
              <w:autoSpaceDN w:val="0"/>
              <w:rPr>
                <w:b/>
                <w:bCs/>
                <w:lang w:eastAsia="en-GB"/>
              </w:rPr>
            </w:pPr>
            <w:r>
              <w:rPr>
                <w:b/>
                <w:bCs/>
                <w:lang w:eastAsia="en-GB"/>
              </w:rPr>
              <w:t xml:space="preserve">Renewal </w:t>
            </w:r>
          </w:p>
        </w:tc>
        <w:tc>
          <w:tcPr>
            <w:tcW w:w="4508" w:type="dxa"/>
          </w:tcPr>
          <w:p w:rsidR="006E2071" w:rsidRDefault="00E95083" w:rsidP="006E2071">
            <w:pPr>
              <w:autoSpaceDE w:val="0"/>
              <w:autoSpaceDN w:val="0"/>
              <w:rPr>
                <w:bCs/>
                <w:lang w:eastAsia="en-GB"/>
              </w:rPr>
            </w:pPr>
            <w:r>
              <w:rPr>
                <w:bCs/>
                <w:lang w:eastAsia="en-GB"/>
              </w:rPr>
              <w:t>Memorandum £180</w:t>
            </w:r>
            <w:r w:rsidR="006E2071">
              <w:rPr>
                <w:bCs/>
                <w:lang w:eastAsia="en-GB"/>
              </w:rPr>
              <w:t xml:space="preserve"> </w:t>
            </w:r>
            <w:proofErr w:type="spellStart"/>
            <w:r w:rsidR="006E2071">
              <w:rPr>
                <w:bCs/>
                <w:lang w:eastAsia="en-GB"/>
              </w:rPr>
              <w:t>inc</w:t>
            </w:r>
            <w:proofErr w:type="spellEnd"/>
            <w:r w:rsidR="006E2071">
              <w:rPr>
                <w:bCs/>
                <w:lang w:eastAsia="en-GB"/>
              </w:rPr>
              <w:t xml:space="preserve"> VAT</w:t>
            </w:r>
          </w:p>
          <w:p w:rsidR="006E2071" w:rsidRDefault="00E95083" w:rsidP="006E2071">
            <w:pPr>
              <w:autoSpaceDE w:val="0"/>
              <w:autoSpaceDN w:val="0"/>
              <w:rPr>
                <w:bCs/>
                <w:lang w:eastAsia="en-GB"/>
              </w:rPr>
            </w:pPr>
            <w:r>
              <w:rPr>
                <w:bCs/>
                <w:lang w:eastAsia="en-GB"/>
              </w:rPr>
              <w:t>Tenancy agreement £354</w:t>
            </w:r>
            <w:r w:rsidR="006E2071">
              <w:rPr>
                <w:bCs/>
                <w:lang w:eastAsia="en-GB"/>
              </w:rPr>
              <w:t xml:space="preserve"> </w:t>
            </w:r>
            <w:proofErr w:type="spellStart"/>
            <w:r w:rsidR="006E2071">
              <w:rPr>
                <w:bCs/>
                <w:lang w:eastAsia="en-GB"/>
              </w:rPr>
              <w:t>inc</w:t>
            </w:r>
            <w:proofErr w:type="spellEnd"/>
            <w:r w:rsidR="006E2071">
              <w:rPr>
                <w:bCs/>
                <w:lang w:eastAsia="en-GB"/>
              </w:rPr>
              <w:t xml:space="preserve"> VAT </w:t>
            </w:r>
          </w:p>
        </w:tc>
      </w:tr>
      <w:tr w:rsidR="006E2071" w:rsidRPr="00DC7B4A" w:rsidTr="00A038E3">
        <w:tc>
          <w:tcPr>
            <w:tcW w:w="4508" w:type="dxa"/>
          </w:tcPr>
          <w:p w:rsidR="006E2071" w:rsidRDefault="006E2071" w:rsidP="006E2071">
            <w:pPr>
              <w:autoSpaceDE w:val="0"/>
              <w:autoSpaceDN w:val="0"/>
              <w:rPr>
                <w:b/>
                <w:bCs/>
                <w:lang w:eastAsia="en-GB"/>
              </w:rPr>
            </w:pPr>
            <w:r>
              <w:rPr>
                <w:b/>
                <w:bCs/>
                <w:lang w:eastAsia="en-GB"/>
              </w:rPr>
              <w:t xml:space="preserve">Inventory Check Out </w:t>
            </w:r>
          </w:p>
        </w:tc>
        <w:tc>
          <w:tcPr>
            <w:tcW w:w="4508" w:type="dxa"/>
          </w:tcPr>
          <w:p w:rsidR="006E2071" w:rsidRDefault="006E2071" w:rsidP="006E2071">
            <w:pPr>
              <w:autoSpaceDE w:val="0"/>
              <w:autoSpaceDN w:val="0"/>
              <w:rPr>
                <w:bCs/>
                <w:lang w:eastAsia="en-GB"/>
              </w:rPr>
            </w:pPr>
            <w:r>
              <w:rPr>
                <w:bCs/>
                <w:lang w:eastAsia="en-GB"/>
              </w:rPr>
              <w:t xml:space="preserve">Dependent upon property size </w:t>
            </w:r>
          </w:p>
        </w:tc>
      </w:tr>
    </w:tbl>
    <w:p w:rsidR="00DC7B4A" w:rsidRDefault="00DC7B4A" w:rsidP="00DC7B4A">
      <w:pPr>
        <w:rPr>
          <w:color w:val="1F497D"/>
        </w:rPr>
      </w:pPr>
    </w:p>
    <w:p w:rsidR="00DC7B4A" w:rsidRDefault="00DC7B4A">
      <w:proofErr w:type="spellStart"/>
      <w:r>
        <w:t>Strutt</w:t>
      </w:r>
      <w:proofErr w:type="spellEnd"/>
      <w:r>
        <w:t xml:space="preserve"> &amp; Parker is a trading style of BNP Paribas Real Estate Advisory &amp; Property Management UK Limited, a private limited company registered in England &amp; Wales (with registered number 4176965) and whose registered office is at 5 </w:t>
      </w:r>
      <w:proofErr w:type="spellStart"/>
      <w:r>
        <w:t>Aldermanbury</w:t>
      </w:r>
      <w:proofErr w:type="spellEnd"/>
      <w:r>
        <w:t xml:space="preserve"> Square, London, EC2V 7BP ('</w:t>
      </w:r>
      <w:proofErr w:type="spellStart"/>
      <w:r>
        <w:t>Strutt</w:t>
      </w:r>
      <w:proofErr w:type="spellEnd"/>
      <w:r>
        <w:t xml:space="preserve"> &amp; Parker').</w:t>
      </w:r>
      <w:r>
        <w:br/>
      </w:r>
      <w:r>
        <w:br/>
        <w:t xml:space="preserve">We are a member of the Royal Institution of Chartered Surveyors </w:t>
      </w:r>
      <w:proofErr w:type="gramStart"/>
      <w:r>
        <w:t>( RICS</w:t>
      </w:r>
      <w:proofErr w:type="gramEnd"/>
      <w:r>
        <w:t xml:space="preserve"> ) (with membership Number 007555) and subscribe to the RICS Clients Money Protection Scheme. Independent redress is provided by the Property Redress Scheme.</w:t>
      </w:r>
    </w:p>
    <w:sectPr w:rsidR="00DC7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61B71"/>
    <w:multiLevelType w:val="hybridMultilevel"/>
    <w:tmpl w:val="D41CB47E"/>
    <w:lvl w:ilvl="0" w:tplc="B8C01856">
      <w:start w:val="1"/>
      <w:numFmt w:val="bullet"/>
      <w:lvlText w:val="•"/>
      <w:lvlJc w:val="left"/>
      <w:pPr>
        <w:tabs>
          <w:tab w:val="num" w:pos="720"/>
        </w:tabs>
        <w:ind w:left="720" w:hanging="360"/>
      </w:pPr>
      <w:rPr>
        <w:rFonts w:ascii="Arial" w:hAnsi="Arial" w:hint="default"/>
      </w:rPr>
    </w:lvl>
    <w:lvl w:ilvl="1" w:tplc="F710B226" w:tentative="1">
      <w:start w:val="1"/>
      <w:numFmt w:val="bullet"/>
      <w:lvlText w:val="•"/>
      <w:lvlJc w:val="left"/>
      <w:pPr>
        <w:tabs>
          <w:tab w:val="num" w:pos="1440"/>
        </w:tabs>
        <w:ind w:left="1440" w:hanging="360"/>
      </w:pPr>
      <w:rPr>
        <w:rFonts w:ascii="Arial" w:hAnsi="Arial" w:hint="default"/>
      </w:rPr>
    </w:lvl>
    <w:lvl w:ilvl="2" w:tplc="0B1EFDE0" w:tentative="1">
      <w:start w:val="1"/>
      <w:numFmt w:val="bullet"/>
      <w:lvlText w:val="•"/>
      <w:lvlJc w:val="left"/>
      <w:pPr>
        <w:tabs>
          <w:tab w:val="num" w:pos="2160"/>
        </w:tabs>
        <w:ind w:left="2160" w:hanging="360"/>
      </w:pPr>
      <w:rPr>
        <w:rFonts w:ascii="Arial" w:hAnsi="Arial" w:hint="default"/>
      </w:rPr>
    </w:lvl>
    <w:lvl w:ilvl="3" w:tplc="40FA2494" w:tentative="1">
      <w:start w:val="1"/>
      <w:numFmt w:val="bullet"/>
      <w:lvlText w:val="•"/>
      <w:lvlJc w:val="left"/>
      <w:pPr>
        <w:tabs>
          <w:tab w:val="num" w:pos="2880"/>
        </w:tabs>
        <w:ind w:left="2880" w:hanging="360"/>
      </w:pPr>
      <w:rPr>
        <w:rFonts w:ascii="Arial" w:hAnsi="Arial" w:hint="default"/>
      </w:rPr>
    </w:lvl>
    <w:lvl w:ilvl="4" w:tplc="B9348E66" w:tentative="1">
      <w:start w:val="1"/>
      <w:numFmt w:val="bullet"/>
      <w:lvlText w:val="•"/>
      <w:lvlJc w:val="left"/>
      <w:pPr>
        <w:tabs>
          <w:tab w:val="num" w:pos="3600"/>
        </w:tabs>
        <w:ind w:left="3600" w:hanging="360"/>
      </w:pPr>
      <w:rPr>
        <w:rFonts w:ascii="Arial" w:hAnsi="Arial" w:hint="default"/>
      </w:rPr>
    </w:lvl>
    <w:lvl w:ilvl="5" w:tplc="4EB60850" w:tentative="1">
      <w:start w:val="1"/>
      <w:numFmt w:val="bullet"/>
      <w:lvlText w:val="•"/>
      <w:lvlJc w:val="left"/>
      <w:pPr>
        <w:tabs>
          <w:tab w:val="num" w:pos="4320"/>
        </w:tabs>
        <w:ind w:left="4320" w:hanging="360"/>
      </w:pPr>
      <w:rPr>
        <w:rFonts w:ascii="Arial" w:hAnsi="Arial" w:hint="default"/>
      </w:rPr>
    </w:lvl>
    <w:lvl w:ilvl="6" w:tplc="370C32B4" w:tentative="1">
      <w:start w:val="1"/>
      <w:numFmt w:val="bullet"/>
      <w:lvlText w:val="•"/>
      <w:lvlJc w:val="left"/>
      <w:pPr>
        <w:tabs>
          <w:tab w:val="num" w:pos="5040"/>
        </w:tabs>
        <w:ind w:left="5040" w:hanging="360"/>
      </w:pPr>
      <w:rPr>
        <w:rFonts w:ascii="Arial" w:hAnsi="Arial" w:hint="default"/>
      </w:rPr>
    </w:lvl>
    <w:lvl w:ilvl="7" w:tplc="7CFEBE3E" w:tentative="1">
      <w:start w:val="1"/>
      <w:numFmt w:val="bullet"/>
      <w:lvlText w:val="•"/>
      <w:lvlJc w:val="left"/>
      <w:pPr>
        <w:tabs>
          <w:tab w:val="num" w:pos="5760"/>
        </w:tabs>
        <w:ind w:left="5760" w:hanging="360"/>
      </w:pPr>
      <w:rPr>
        <w:rFonts w:ascii="Arial" w:hAnsi="Arial" w:hint="default"/>
      </w:rPr>
    </w:lvl>
    <w:lvl w:ilvl="8" w:tplc="DDF6E8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4A"/>
    <w:rsid w:val="0040055C"/>
    <w:rsid w:val="006E2071"/>
    <w:rsid w:val="00AB3116"/>
    <w:rsid w:val="00D552C8"/>
    <w:rsid w:val="00DC7B4A"/>
    <w:rsid w:val="00E95083"/>
    <w:rsid w:val="00EF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7941"/>
  <w15:chartTrackingRefBased/>
  <w15:docId w15:val="{3D02CAAE-AFCD-4A4D-8FDB-41460301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B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6807">
      <w:bodyDiv w:val="1"/>
      <w:marLeft w:val="0"/>
      <w:marRight w:val="0"/>
      <w:marTop w:val="0"/>
      <w:marBottom w:val="0"/>
      <w:divBdr>
        <w:top w:val="none" w:sz="0" w:space="0" w:color="auto"/>
        <w:left w:val="none" w:sz="0" w:space="0" w:color="auto"/>
        <w:bottom w:val="none" w:sz="0" w:space="0" w:color="auto"/>
        <w:right w:val="none" w:sz="0" w:space="0" w:color="auto"/>
      </w:divBdr>
      <w:divsChild>
        <w:div w:id="694159549">
          <w:marLeft w:val="360"/>
          <w:marRight w:val="0"/>
          <w:marTop w:val="200"/>
          <w:marBottom w:val="0"/>
          <w:divBdr>
            <w:top w:val="none" w:sz="0" w:space="0" w:color="auto"/>
            <w:left w:val="none" w:sz="0" w:space="0" w:color="auto"/>
            <w:bottom w:val="none" w:sz="0" w:space="0" w:color="auto"/>
            <w:right w:val="none" w:sz="0" w:space="0" w:color="auto"/>
          </w:divBdr>
        </w:div>
      </w:divsChild>
    </w:div>
    <w:div w:id="1472596499">
      <w:bodyDiv w:val="1"/>
      <w:marLeft w:val="0"/>
      <w:marRight w:val="0"/>
      <w:marTop w:val="0"/>
      <w:marBottom w:val="0"/>
      <w:divBdr>
        <w:top w:val="none" w:sz="0" w:space="0" w:color="auto"/>
        <w:left w:val="none" w:sz="0" w:space="0" w:color="auto"/>
        <w:bottom w:val="none" w:sz="0" w:space="0" w:color="auto"/>
        <w:right w:val="none" w:sz="0" w:space="0" w:color="auto"/>
      </w:divBdr>
    </w:div>
    <w:div w:id="18970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BNP Paribas Real Estate</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EMMERSON</dc:creator>
  <cp:keywords/>
  <dc:description/>
  <cp:lastModifiedBy>Sarah EMMERSON</cp:lastModifiedBy>
  <cp:revision>2</cp:revision>
  <dcterms:created xsi:type="dcterms:W3CDTF">2019-06-05T08:42:00Z</dcterms:created>
  <dcterms:modified xsi:type="dcterms:W3CDTF">2019-06-05T14:21:00Z</dcterms:modified>
</cp:coreProperties>
</file>